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r w:rsidRPr="00CB0239">
        <w:rPr>
          <w:rFonts w:ascii="Arial" w:eastAsia="Times New Roman" w:hAnsi="Arial" w:cs="Arial"/>
          <w:color w:val="222222"/>
          <w:sz w:val="24"/>
          <w:szCs w:val="24"/>
          <w:lang w:eastAsia="es-AR"/>
        </w:rPr>
        <w:t>PIELONEFRITIS COMPLICADA, ¿CUÁNDO PENSARLA Y CÓMO PODRÍAMOS ESTUDIARLA? </w:t>
      </w:r>
    </w:p>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r w:rsidRPr="00CB0239">
        <w:rPr>
          <w:rFonts w:ascii="Arial" w:eastAsia="Times New Roman" w:hAnsi="Arial" w:cs="Arial"/>
          <w:color w:val="222222"/>
          <w:sz w:val="24"/>
          <w:szCs w:val="24"/>
          <w:lang w:eastAsia="es-AR"/>
        </w:rPr>
        <w:t xml:space="preserve">Autores: Valentina </w:t>
      </w:r>
      <w:proofErr w:type="spellStart"/>
      <w:r w:rsidRPr="00CB0239">
        <w:rPr>
          <w:rFonts w:ascii="Arial" w:eastAsia="Times New Roman" w:hAnsi="Arial" w:cs="Arial"/>
          <w:color w:val="222222"/>
          <w:sz w:val="24"/>
          <w:szCs w:val="24"/>
          <w:lang w:eastAsia="es-AR"/>
        </w:rPr>
        <w:t>Sabate</w:t>
      </w:r>
      <w:proofErr w:type="spellEnd"/>
      <w:r w:rsidRPr="00CB0239">
        <w:rPr>
          <w:rFonts w:ascii="Arial" w:eastAsia="Times New Roman" w:hAnsi="Arial" w:cs="Arial"/>
          <w:color w:val="222222"/>
          <w:sz w:val="24"/>
          <w:szCs w:val="24"/>
          <w:lang w:eastAsia="es-AR"/>
        </w:rPr>
        <w:t xml:space="preserve">, Bianca </w:t>
      </w:r>
      <w:proofErr w:type="spellStart"/>
      <w:r w:rsidRPr="00CB0239">
        <w:rPr>
          <w:rFonts w:ascii="Arial" w:eastAsia="Times New Roman" w:hAnsi="Arial" w:cs="Arial"/>
          <w:color w:val="222222"/>
          <w:sz w:val="24"/>
          <w:szCs w:val="24"/>
          <w:lang w:eastAsia="es-AR"/>
        </w:rPr>
        <w:t>Garcia</w:t>
      </w:r>
      <w:proofErr w:type="spellEnd"/>
      <w:r w:rsidRPr="00CB0239">
        <w:rPr>
          <w:rFonts w:ascii="Arial" w:eastAsia="Times New Roman" w:hAnsi="Arial" w:cs="Arial"/>
          <w:color w:val="222222"/>
          <w:sz w:val="24"/>
          <w:szCs w:val="24"/>
          <w:lang w:eastAsia="es-AR"/>
        </w:rPr>
        <w:t xml:space="preserve">, Paola </w:t>
      </w:r>
      <w:proofErr w:type="spellStart"/>
      <w:r w:rsidRPr="00CB0239">
        <w:rPr>
          <w:rFonts w:ascii="Arial" w:eastAsia="Times New Roman" w:hAnsi="Arial" w:cs="Arial"/>
          <w:color w:val="222222"/>
          <w:sz w:val="24"/>
          <w:szCs w:val="24"/>
          <w:lang w:eastAsia="es-AR"/>
        </w:rPr>
        <w:t>Novelli</w:t>
      </w:r>
      <w:proofErr w:type="spellEnd"/>
      <w:r w:rsidRPr="00CB0239">
        <w:rPr>
          <w:rFonts w:ascii="Arial" w:eastAsia="Times New Roman" w:hAnsi="Arial" w:cs="Arial"/>
          <w:color w:val="222222"/>
          <w:sz w:val="24"/>
          <w:szCs w:val="24"/>
          <w:lang w:eastAsia="es-AR"/>
        </w:rPr>
        <w:t>, Sandra Zapata </w:t>
      </w:r>
    </w:p>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r w:rsidRPr="00CB0239">
        <w:rPr>
          <w:rFonts w:ascii="Arial" w:eastAsia="Times New Roman" w:hAnsi="Arial" w:cs="Arial"/>
          <w:color w:val="222222"/>
          <w:sz w:val="24"/>
          <w:szCs w:val="24"/>
          <w:lang w:eastAsia="es-AR"/>
        </w:rPr>
        <w:t xml:space="preserve">Servicio Clínica </w:t>
      </w:r>
      <w:proofErr w:type="gramStart"/>
      <w:r w:rsidRPr="00CB0239">
        <w:rPr>
          <w:rFonts w:ascii="Arial" w:eastAsia="Times New Roman" w:hAnsi="Arial" w:cs="Arial"/>
          <w:color w:val="222222"/>
          <w:sz w:val="24"/>
          <w:szCs w:val="24"/>
          <w:lang w:eastAsia="es-AR"/>
        </w:rPr>
        <w:t>Medica</w:t>
      </w:r>
      <w:proofErr w:type="gramEnd"/>
    </w:p>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r w:rsidRPr="00CB0239">
        <w:rPr>
          <w:rFonts w:ascii="Arial" w:eastAsia="Times New Roman" w:hAnsi="Arial" w:cs="Arial"/>
          <w:color w:val="222222"/>
          <w:sz w:val="24"/>
          <w:szCs w:val="24"/>
          <w:lang w:eastAsia="es-AR"/>
        </w:rPr>
        <w:t>Mail: </w:t>
      </w:r>
      <w:hyperlink r:id="rId4" w:tgtFrame="_blank" w:history="1">
        <w:r w:rsidRPr="00CB0239">
          <w:rPr>
            <w:rFonts w:ascii="Arial" w:eastAsia="Times New Roman" w:hAnsi="Arial" w:cs="Arial"/>
            <w:color w:val="1155CC"/>
            <w:sz w:val="24"/>
            <w:szCs w:val="24"/>
            <w:u w:val="single"/>
            <w:lang w:eastAsia="es-AR"/>
          </w:rPr>
          <w:t>samazap@gmail.com</w:t>
        </w:r>
      </w:hyperlink>
    </w:p>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p>
    <w:p w:rsidR="00CB0239" w:rsidRPr="00CB0239" w:rsidRDefault="00CB0239" w:rsidP="00CB0239">
      <w:pPr>
        <w:shd w:val="clear" w:color="auto" w:fill="FFFFFF"/>
        <w:spacing w:after="0" w:line="240" w:lineRule="auto"/>
        <w:rPr>
          <w:rFonts w:ascii="Arial" w:eastAsia="Times New Roman" w:hAnsi="Arial" w:cs="Arial"/>
          <w:color w:val="222222"/>
          <w:sz w:val="24"/>
          <w:szCs w:val="24"/>
          <w:lang w:eastAsia="es-AR"/>
        </w:rPr>
      </w:pPr>
      <w:r w:rsidRPr="00CB0239">
        <w:rPr>
          <w:rFonts w:ascii="Arial" w:eastAsia="Times New Roman" w:hAnsi="Arial" w:cs="Arial"/>
          <w:color w:val="222222"/>
          <w:sz w:val="24"/>
          <w:szCs w:val="24"/>
          <w:lang w:eastAsia="es-AR"/>
        </w:rPr>
        <w:t xml:space="preserve">Introducción: la </w:t>
      </w:r>
      <w:proofErr w:type="spellStart"/>
      <w:r w:rsidRPr="00CB0239">
        <w:rPr>
          <w:rFonts w:ascii="Arial" w:eastAsia="Times New Roman" w:hAnsi="Arial" w:cs="Arial"/>
          <w:color w:val="222222"/>
          <w:sz w:val="24"/>
          <w:szCs w:val="24"/>
          <w:lang w:eastAsia="es-AR"/>
        </w:rPr>
        <w:t>pielonefritis</w:t>
      </w:r>
      <w:proofErr w:type="spellEnd"/>
      <w:r w:rsidRPr="00CB0239">
        <w:rPr>
          <w:rFonts w:ascii="Arial" w:eastAsia="Times New Roman" w:hAnsi="Arial" w:cs="Arial"/>
          <w:color w:val="222222"/>
          <w:sz w:val="24"/>
          <w:szCs w:val="24"/>
          <w:lang w:eastAsia="es-AR"/>
        </w:rPr>
        <w:t xml:space="preserve"> es una infección urinaria alta que afecta a la pelvis y parénquima renal. Los síntomas más frecuentes son el dolor lumbar y la fiebre. Las vías de transmisión son de forma ascendente, a través de vía urinaria y la menos frecuente, de forma hematógena. Las </w:t>
      </w:r>
      <w:proofErr w:type="spellStart"/>
      <w:r w:rsidRPr="00CB0239">
        <w:rPr>
          <w:rFonts w:ascii="Arial" w:eastAsia="Times New Roman" w:hAnsi="Arial" w:cs="Arial"/>
          <w:color w:val="222222"/>
          <w:sz w:val="24"/>
          <w:szCs w:val="24"/>
          <w:lang w:eastAsia="es-AR"/>
        </w:rPr>
        <w:t>pielonefritis</w:t>
      </w:r>
      <w:proofErr w:type="spellEnd"/>
      <w:r w:rsidRPr="00CB0239">
        <w:rPr>
          <w:rFonts w:ascii="Arial" w:eastAsia="Times New Roman" w:hAnsi="Arial" w:cs="Arial"/>
          <w:color w:val="222222"/>
          <w:sz w:val="24"/>
          <w:szCs w:val="24"/>
          <w:lang w:eastAsia="es-AR"/>
        </w:rPr>
        <w:t xml:space="preserve"> pueden complicarse con abscesos, más frecuentemente renales. Aquellos que invaden la grasa </w:t>
      </w:r>
      <w:proofErr w:type="spellStart"/>
      <w:r w:rsidRPr="00CB0239">
        <w:rPr>
          <w:rFonts w:ascii="Arial" w:eastAsia="Times New Roman" w:hAnsi="Arial" w:cs="Arial"/>
          <w:color w:val="222222"/>
          <w:sz w:val="24"/>
          <w:szCs w:val="24"/>
          <w:lang w:eastAsia="es-AR"/>
        </w:rPr>
        <w:t>perirrenal</w:t>
      </w:r>
      <w:proofErr w:type="spellEnd"/>
      <w:r w:rsidRPr="00CB0239">
        <w:rPr>
          <w:rFonts w:ascii="Arial" w:eastAsia="Times New Roman" w:hAnsi="Arial" w:cs="Arial"/>
          <w:color w:val="222222"/>
          <w:sz w:val="24"/>
          <w:szCs w:val="24"/>
          <w:lang w:eastAsia="es-AR"/>
        </w:rPr>
        <w:t xml:space="preserve">, pueden diseminarse de forma sistémica, si bien no es lo habitual, a través de vasos sanguíneos/linfáticos, simulando la </w:t>
      </w:r>
      <w:proofErr w:type="spellStart"/>
      <w:r w:rsidRPr="00CB0239">
        <w:rPr>
          <w:rFonts w:ascii="Arial" w:eastAsia="Times New Roman" w:hAnsi="Arial" w:cs="Arial"/>
          <w:color w:val="222222"/>
          <w:sz w:val="24"/>
          <w:szCs w:val="24"/>
          <w:lang w:eastAsia="es-AR"/>
        </w:rPr>
        <w:t>fisiopatogenia</w:t>
      </w:r>
      <w:proofErr w:type="spellEnd"/>
      <w:r w:rsidRPr="00CB0239">
        <w:rPr>
          <w:rFonts w:ascii="Arial" w:eastAsia="Times New Roman" w:hAnsi="Arial" w:cs="Arial"/>
          <w:color w:val="222222"/>
          <w:sz w:val="24"/>
          <w:szCs w:val="24"/>
          <w:lang w:eastAsia="es-AR"/>
        </w:rPr>
        <w:t xml:space="preserve"> de las metástasis de los procesos oncológicos renales. A continuación se comentará el caso de una paciente con </w:t>
      </w:r>
      <w:proofErr w:type="spellStart"/>
      <w:r w:rsidRPr="00CB0239">
        <w:rPr>
          <w:rFonts w:ascii="Arial" w:eastAsia="Times New Roman" w:hAnsi="Arial" w:cs="Arial"/>
          <w:color w:val="222222"/>
          <w:sz w:val="24"/>
          <w:szCs w:val="24"/>
          <w:lang w:eastAsia="es-AR"/>
        </w:rPr>
        <w:t>pielonefritis</w:t>
      </w:r>
      <w:proofErr w:type="spellEnd"/>
      <w:r w:rsidRPr="00CB0239">
        <w:rPr>
          <w:rFonts w:ascii="Arial" w:eastAsia="Times New Roman" w:hAnsi="Arial" w:cs="Arial"/>
          <w:color w:val="222222"/>
          <w:sz w:val="24"/>
          <w:szCs w:val="24"/>
          <w:lang w:eastAsia="es-AR"/>
        </w:rPr>
        <w:t xml:space="preserve"> complicada con abscesos en varios órganos. Caso Clínico: Paciente femenina de 45 años de edad con antecedentes de hipertensión arterial, </w:t>
      </w:r>
      <w:proofErr w:type="spellStart"/>
      <w:r w:rsidRPr="00CB0239">
        <w:rPr>
          <w:rFonts w:ascii="Arial" w:eastAsia="Times New Roman" w:hAnsi="Arial" w:cs="Arial"/>
          <w:color w:val="222222"/>
          <w:sz w:val="24"/>
          <w:szCs w:val="24"/>
          <w:lang w:eastAsia="es-AR"/>
        </w:rPr>
        <w:t>hemorroidectomía</w:t>
      </w:r>
      <w:proofErr w:type="spellEnd"/>
      <w:r w:rsidRPr="00CB0239">
        <w:rPr>
          <w:rFonts w:ascii="Arial" w:eastAsia="Times New Roman" w:hAnsi="Arial" w:cs="Arial"/>
          <w:color w:val="222222"/>
          <w:sz w:val="24"/>
          <w:szCs w:val="24"/>
          <w:lang w:eastAsia="es-AR"/>
        </w:rPr>
        <w:t xml:space="preserve">, </w:t>
      </w:r>
      <w:proofErr w:type="spellStart"/>
      <w:r w:rsidRPr="00CB0239">
        <w:rPr>
          <w:rFonts w:ascii="Arial" w:eastAsia="Times New Roman" w:hAnsi="Arial" w:cs="Arial"/>
          <w:color w:val="222222"/>
          <w:sz w:val="24"/>
          <w:szCs w:val="24"/>
          <w:lang w:eastAsia="es-AR"/>
        </w:rPr>
        <w:t>diverticulosis</w:t>
      </w:r>
      <w:proofErr w:type="spellEnd"/>
      <w:r w:rsidRPr="00CB0239">
        <w:rPr>
          <w:rFonts w:ascii="Arial" w:eastAsia="Times New Roman" w:hAnsi="Arial" w:cs="Arial"/>
          <w:color w:val="222222"/>
          <w:sz w:val="24"/>
          <w:szCs w:val="24"/>
          <w:lang w:eastAsia="es-AR"/>
        </w:rPr>
        <w:t xml:space="preserve"> en seguimiento por </w:t>
      </w:r>
      <w:proofErr w:type="spellStart"/>
      <w:r w:rsidRPr="00CB0239">
        <w:rPr>
          <w:rFonts w:ascii="Arial" w:eastAsia="Times New Roman" w:hAnsi="Arial" w:cs="Arial"/>
          <w:color w:val="222222"/>
          <w:sz w:val="24"/>
          <w:szCs w:val="24"/>
          <w:lang w:eastAsia="es-AR"/>
        </w:rPr>
        <w:t>gastroenterologia</w:t>
      </w:r>
      <w:proofErr w:type="spellEnd"/>
      <w:r w:rsidRPr="00CB0239">
        <w:rPr>
          <w:rFonts w:ascii="Arial" w:eastAsia="Times New Roman" w:hAnsi="Arial" w:cs="Arial"/>
          <w:color w:val="222222"/>
          <w:sz w:val="24"/>
          <w:szCs w:val="24"/>
          <w:lang w:eastAsia="es-AR"/>
        </w:rPr>
        <w:t xml:space="preserve">, alergia al ácido acetil salicílico. Consulta por cuadro clínico de tres días de evolución caracterizado por dolor en flanco derecho de tipo pulsátil, de intensidad 6/10 con irradiación a dorso, fiebre, náuseas y vómitos, diarrea no, disentérica, </w:t>
      </w:r>
      <w:proofErr w:type="spellStart"/>
      <w:r w:rsidRPr="00CB0239">
        <w:rPr>
          <w:rFonts w:ascii="Arial" w:eastAsia="Times New Roman" w:hAnsi="Arial" w:cs="Arial"/>
          <w:color w:val="222222"/>
          <w:sz w:val="24"/>
          <w:szCs w:val="24"/>
          <w:lang w:eastAsia="es-AR"/>
        </w:rPr>
        <w:t>polaquiuria</w:t>
      </w:r>
      <w:proofErr w:type="spellEnd"/>
      <w:r w:rsidRPr="00CB0239">
        <w:rPr>
          <w:rFonts w:ascii="Arial" w:eastAsia="Times New Roman" w:hAnsi="Arial" w:cs="Arial"/>
          <w:color w:val="222222"/>
          <w:sz w:val="24"/>
          <w:szCs w:val="24"/>
          <w:lang w:eastAsia="es-AR"/>
        </w:rPr>
        <w:t xml:space="preserve">, tenesmo, negativismo a la ingesta. Se realiza laboratorio en donde presenta leucocitosis y ecografía abdominal sin patología evidente y por cuadro compatible con </w:t>
      </w:r>
      <w:proofErr w:type="spellStart"/>
      <w:r w:rsidRPr="00CB0239">
        <w:rPr>
          <w:rFonts w:ascii="Arial" w:eastAsia="Times New Roman" w:hAnsi="Arial" w:cs="Arial"/>
          <w:color w:val="222222"/>
          <w:sz w:val="24"/>
          <w:szCs w:val="24"/>
          <w:lang w:eastAsia="es-AR"/>
        </w:rPr>
        <w:t>pielonefritis</w:t>
      </w:r>
      <w:proofErr w:type="spellEnd"/>
      <w:r w:rsidRPr="00CB0239">
        <w:rPr>
          <w:rFonts w:ascii="Arial" w:eastAsia="Times New Roman" w:hAnsi="Arial" w:cs="Arial"/>
          <w:color w:val="222222"/>
          <w:sz w:val="24"/>
          <w:szCs w:val="24"/>
          <w:lang w:eastAsia="es-AR"/>
        </w:rPr>
        <w:t xml:space="preserve"> vs gastroenteritis e intolerancia digestiva, se interna e inicia </w:t>
      </w:r>
      <w:proofErr w:type="spellStart"/>
      <w:r w:rsidRPr="00CB0239">
        <w:rPr>
          <w:rFonts w:ascii="Arial" w:eastAsia="Times New Roman" w:hAnsi="Arial" w:cs="Arial"/>
          <w:color w:val="222222"/>
          <w:sz w:val="24"/>
          <w:szCs w:val="24"/>
          <w:lang w:eastAsia="es-AR"/>
        </w:rPr>
        <w:t>antibioticoterapia</w:t>
      </w:r>
      <w:proofErr w:type="spellEnd"/>
      <w:r w:rsidRPr="00CB0239">
        <w:rPr>
          <w:rFonts w:ascii="Arial" w:eastAsia="Times New Roman" w:hAnsi="Arial" w:cs="Arial"/>
          <w:color w:val="222222"/>
          <w:sz w:val="24"/>
          <w:szCs w:val="24"/>
          <w:lang w:eastAsia="es-AR"/>
        </w:rPr>
        <w:t xml:space="preserve"> endovenosa con </w:t>
      </w:r>
      <w:proofErr w:type="spellStart"/>
      <w:r w:rsidRPr="00CB0239">
        <w:rPr>
          <w:rFonts w:ascii="Arial" w:eastAsia="Times New Roman" w:hAnsi="Arial" w:cs="Arial"/>
          <w:color w:val="222222"/>
          <w:sz w:val="24"/>
          <w:szCs w:val="24"/>
          <w:lang w:eastAsia="es-AR"/>
        </w:rPr>
        <w:t>ceftriaxona</w:t>
      </w:r>
      <w:proofErr w:type="spellEnd"/>
      <w:r w:rsidRPr="00CB0239">
        <w:rPr>
          <w:rFonts w:ascii="Arial" w:eastAsia="Times New Roman" w:hAnsi="Arial" w:cs="Arial"/>
          <w:color w:val="222222"/>
          <w:sz w:val="24"/>
          <w:szCs w:val="24"/>
          <w:lang w:eastAsia="es-AR"/>
        </w:rPr>
        <w:t xml:space="preserve"> y </w:t>
      </w:r>
      <w:proofErr w:type="spellStart"/>
      <w:r w:rsidRPr="00CB0239">
        <w:rPr>
          <w:rFonts w:ascii="Arial" w:eastAsia="Times New Roman" w:hAnsi="Arial" w:cs="Arial"/>
          <w:color w:val="222222"/>
          <w:sz w:val="24"/>
          <w:szCs w:val="24"/>
          <w:lang w:eastAsia="es-AR"/>
        </w:rPr>
        <w:t>metronidazol</w:t>
      </w:r>
      <w:proofErr w:type="spellEnd"/>
      <w:r w:rsidRPr="00CB0239">
        <w:rPr>
          <w:rFonts w:ascii="Arial" w:eastAsia="Times New Roman" w:hAnsi="Arial" w:cs="Arial"/>
          <w:color w:val="222222"/>
          <w:sz w:val="24"/>
          <w:szCs w:val="24"/>
          <w:lang w:eastAsia="es-AR"/>
        </w:rPr>
        <w:t xml:space="preserve">. Evoluciona con mal manejo del dolor, febril persistente y leucocitosis estable. Se realiza tomografía de abdomen y pelvis evidenciando abscesos a nivel hepático y de ambos riñones. Se drena material de abscesos renales, se rota </w:t>
      </w:r>
      <w:proofErr w:type="spellStart"/>
      <w:r w:rsidRPr="00CB0239">
        <w:rPr>
          <w:rFonts w:ascii="Arial" w:eastAsia="Times New Roman" w:hAnsi="Arial" w:cs="Arial"/>
          <w:color w:val="222222"/>
          <w:sz w:val="24"/>
          <w:szCs w:val="24"/>
          <w:lang w:eastAsia="es-AR"/>
        </w:rPr>
        <w:t>antibioticoterapia</w:t>
      </w:r>
      <w:proofErr w:type="spellEnd"/>
      <w:r w:rsidRPr="00CB0239">
        <w:rPr>
          <w:rFonts w:ascii="Arial" w:eastAsia="Times New Roman" w:hAnsi="Arial" w:cs="Arial"/>
          <w:color w:val="222222"/>
          <w:sz w:val="24"/>
          <w:szCs w:val="24"/>
          <w:lang w:eastAsia="es-AR"/>
        </w:rPr>
        <w:t xml:space="preserve"> a </w:t>
      </w:r>
      <w:proofErr w:type="spellStart"/>
      <w:r w:rsidRPr="00CB0239">
        <w:rPr>
          <w:rFonts w:ascii="Arial" w:eastAsia="Times New Roman" w:hAnsi="Arial" w:cs="Arial"/>
          <w:color w:val="222222"/>
          <w:sz w:val="24"/>
          <w:szCs w:val="24"/>
          <w:lang w:eastAsia="es-AR"/>
        </w:rPr>
        <w:t>Amikacina-Metronidazol</w:t>
      </w:r>
      <w:proofErr w:type="spellEnd"/>
      <w:r w:rsidRPr="00CB0239">
        <w:rPr>
          <w:rFonts w:ascii="Arial" w:eastAsia="Times New Roman" w:hAnsi="Arial" w:cs="Arial"/>
          <w:color w:val="222222"/>
          <w:sz w:val="24"/>
          <w:szCs w:val="24"/>
          <w:lang w:eastAsia="es-AR"/>
        </w:rPr>
        <w:t xml:space="preserve"> y se realiza seguimiento en conjunto con Servicios de Urología y Cirugía General. Se recuperan resultados de hemocultivos x2, cerrados negativos, </w:t>
      </w:r>
      <w:proofErr w:type="spellStart"/>
      <w:r w:rsidRPr="00CB0239">
        <w:rPr>
          <w:rFonts w:ascii="Arial" w:eastAsia="Times New Roman" w:hAnsi="Arial" w:cs="Arial"/>
          <w:color w:val="222222"/>
          <w:sz w:val="24"/>
          <w:szCs w:val="24"/>
          <w:lang w:eastAsia="es-AR"/>
        </w:rPr>
        <w:t>urocultivo</w:t>
      </w:r>
      <w:proofErr w:type="spellEnd"/>
      <w:r w:rsidRPr="00CB0239">
        <w:rPr>
          <w:rFonts w:ascii="Arial" w:eastAsia="Times New Roman" w:hAnsi="Arial" w:cs="Arial"/>
          <w:color w:val="222222"/>
          <w:sz w:val="24"/>
          <w:szCs w:val="24"/>
          <w:lang w:eastAsia="es-AR"/>
        </w:rPr>
        <w:t xml:space="preserve"> negativo y material del absceso renal resulta positivo para </w:t>
      </w:r>
      <w:proofErr w:type="spellStart"/>
      <w:r w:rsidRPr="00CB0239">
        <w:rPr>
          <w:rFonts w:ascii="Arial" w:eastAsia="Times New Roman" w:hAnsi="Arial" w:cs="Arial"/>
          <w:color w:val="222222"/>
          <w:sz w:val="24"/>
          <w:szCs w:val="24"/>
          <w:lang w:eastAsia="es-AR"/>
        </w:rPr>
        <w:t>Klebsiella</w:t>
      </w:r>
      <w:proofErr w:type="spellEnd"/>
      <w:r w:rsidRPr="00CB0239">
        <w:rPr>
          <w:rFonts w:ascii="Arial" w:eastAsia="Times New Roman" w:hAnsi="Arial" w:cs="Arial"/>
          <w:color w:val="222222"/>
          <w:sz w:val="24"/>
          <w:szCs w:val="24"/>
          <w:lang w:eastAsia="es-AR"/>
        </w:rPr>
        <w:t xml:space="preserve"> </w:t>
      </w:r>
      <w:proofErr w:type="spellStart"/>
      <w:r w:rsidRPr="00CB0239">
        <w:rPr>
          <w:rFonts w:ascii="Arial" w:eastAsia="Times New Roman" w:hAnsi="Arial" w:cs="Arial"/>
          <w:color w:val="222222"/>
          <w:sz w:val="24"/>
          <w:szCs w:val="24"/>
          <w:lang w:eastAsia="es-AR"/>
        </w:rPr>
        <w:t>Pneumoniae</w:t>
      </w:r>
      <w:proofErr w:type="spellEnd"/>
      <w:r w:rsidRPr="00CB0239">
        <w:rPr>
          <w:rFonts w:ascii="Arial" w:eastAsia="Times New Roman" w:hAnsi="Arial" w:cs="Arial"/>
          <w:color w:val="222222"/>
          <w:sz w:val="24"/>
          <w:szCs w:val="24"/>
          <w:lang w:eastAsia="es-AR"/>
        </w:rPr>
        <w:t xml:space="preserve"> sensible a tratamiento instaurado. Finalizada la </w:t>
      </w:r>
      <w:proofErr w:type="spellStart"/>
      <w:r w:rsidRPr="00CB0239">
        <w:rPr>
          <w:rFonts w:ascii="Arial" w:eastAsia="Times New Roman" w:hAnsi="Arial" w:cs="Arial"/>
          <w:color w:val="222222"/>
          <w:sz w:val="24"/>
          <w:szCs w:val="24"/>
          <w:lang w:eastAsia="es-AR"/>
        </w:rPr>
        <w:t>antibioticoterapia</w:t>
      </w:r>
      <w:proofErr w:type="spellEnd"/>
      <w:r w:rsidRPr="00CB0239">
        <w:rPr>
          <w:rFonts w:ascii="Arial" w:eastAsia="Times New Roman" w:hAnsi="Arial" w:cs="Arial"/>
          <w:color w:val="222222"/>
          <w:sz w:val="24"/>
          <w:szCs w:val="24"/>
          <w:lang w:eastAsia="es-AR"/>
        </w:rPr>
        <w:t xml:space="preserve"> y por mejoría clínica, se decide su egreso hospitalario realizando seguimiento por ambulatorio a cargo del Servicio de Urología con tomografía control. Comentario: las </w:t>
      </w:r>
      <w:proofErr w:type="spellStart"/>
      <w:r w:rsidRPr="00CB0239">
        <w:rPr>
          <w:rFonts w:ascii="Arial" w:eastAsia="Times New Roman" w:hAnsi="Arial" w:cs="Arial"/>
          <w:color w:val="222222"/>
          <w:sz w:val="24"/>
          <w:szCs w:val="24"/>
          <w:lang w:eastAsia="es-AR"/>
        </w:rPr>
        <w:t>pielonefritis</w:t>
      </w:r>
      <w:proofErr w:type="spellEnd"/>
      <w:r w:rsidRPr="00CB0239">
        <w:rPr>
          <w:rFonts w:ascii="Arial" w:eastAsia="Times New Roman" w:hAnsi="Arial" w:cs="Arial"/>
          <w:color w:val="222222"/>
          <w:sz w:val="24"/>
          <w:szCs w:val="24"/>
          <w:lang w:eastAsia="es-AR"/>
        </w:rPr>
        <w:t xml:space="preserve"> se pueden complicar con entidades que ponen en riesgo la vida del paciente, debe sospecharse en aquellos en donde la evolución es tórpida. Es de suma importancia realizar métodos </w:t>
      </w:r>
      <w:proofErr w:type="spellStart"/>
      <w:r w:rsidRPr="00CB0239">
        <w:rPr>
          <w:rFonts w:ascii="Arial" w:eastAsia="Times New Roman" w:hAnsi="Arial" w:cs="Arial"/>
          <w:color w:val="222222"/>
          <w:sz w:val="24"/>
          <w:szCs w:val="24"/>
          <w:lang w:eastAsia="es-AR"/>
        </w:rPr>
        <w:t>imagenológicos</w:t>
      </w:r>
      <w:proofErr w:type="spellEnd"/>
      <w:r w:rsidRPr="00CB0239">
        <w:rPr>
          <w:rFonts w:ascii="Arial" w:eastAsia="Times New Roman" w:hAnsi="Arial" w:cs="Arial"/>
          <w:color w:val="222222"/>
          <w:sz w:val="24"/>
          <w:szCs w:val="24"/>
          <w:lang w:eastAsia="es-AR"/>
        </w:rPr>
        <w:t xml:space="preserve"> a fin de detectar de manera temprana dichas complicaciones. Si bien los cultivos en sangre resultaron negativos, hay una sospecha elevada de bacteriemia en el caso presentado como principal diseminación de la infección. Podría ser de utilidad realizar hemocultivos seriados a fin de detectar presencia de gérmenes en sangre.</w:t>
      </w:r>
    </w:p>
    <w:p w:rsidR="00AD4094" w:rsidRDefault="00AD4094">
      <w:bookmarkStart w:id="0" w:name="_GoBack"/>
      <w:bookmarkEnd w:id="0"/>
    </w:p>
    <w:sectPr w:rsidR="00AD4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39"/>
    <w:rsid w:val="00AD4094"/>
    <w:rsid w:val="00CB02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B8DDE-4FEF-4263-A55C-F9EAF51D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002597">
      <w:bodyDiv w:val="1"/>
      <w:marLeft w:val="0"/>
      <w:marRight w:val="0"/>
      <w:marTop w:val="0"/>
      <w:marBottom w:val="0"/>
      <w:divBdr>
        <w:top w:val="none" w:sz="0" w:space="0" w:color="auto"/>
        <w:left w:val="none" w:sz="0" w:space="0" w:color="auto"/>
        <w:bottom w:val="none" w:sz="0" w:space="0" w:color="auto"/>
        <w:right w:val="none" w:sz="0" w:space="0" w:color="auto"/>
      </w:divBdr>
      <w:divsChild>
        <w:div w:id="1386218162">
          <w:marLeft w:val="0"/>
          <w:marRight w:val="0"/>
          <w:marTop w:val="0"/>
          <w:marBottom w:val="0"/>
          <w:divBdr>
            <w:top w:val="none" w:sz="0" w:space="0" w:color="auto"/>
            <w:left w:val="none" w:sz="0" w:space="0" w:color="auto"/>
            <w:bottom w:val="none" w:sz="0" w:space="0" w:color="auto"/>
            <w:right w:val="none" w:sz="0" w:space="0" w:color="auto"/>
          </w:divBdr>
        </w:div>
        <w:div w:id="2146701451">
          <w:marLeft w:val="0"/>
          <w:marRight w:val="0"/>
          <w:marTop w:val="0"/>
          <w:marBottom w:val="0"/>
          <w:divBdr>
            <w:top w:val="none" w:sz="0" w:space="0" w:color="auto"/>
            <w:left w:val="none" w:sz="0" w:space="0" w:color="auto"/>
            <w:bottom w:val="none" w:sz="0" w:space="0" w:color="auto"/>
            <w:right w:val="none" w:sz="0" w:space="0" w:color="auto"/>
          </w:divBdr>
        </w:div>
        <w:div w:id="550726940">
          <w:marLeft w:val="0"/>
          <w:marRight w:val="0"/>
          <w:marTop w:val="0"/>
          <w:marBottom w:val="0"/>
          <w:divBdr>
            <w:top w:val="none" w:sz="0" w:space="0" w:color="auto"/>
            <w:left w:val="none" w:sz="0" w:space="0" w:color="auto"/>
            <w:bottom w:val="none" w:sz="0" w:space="0" w:color="auto"/>
            <w:right w:val="none" w:sz="0" w:space="0" w:color="auto"/>
          </w:divBdr>
        </w:div>
        <w:div w:id="1839079716">
          <w:marLeft w:val="0"/>
          <w:marRight w:val="0"/>
          <w:marTop w:val="0"/>
          <w:marBottom w:val="0"/>
          <w:divBdr>
            <w:top w:val="none" w:sz="0" w:space="0" w:color="auto"/>
            <w:left w:val="none" w:sz="0" w:space="0" w:color="auto"/>
            <w:bottom w:val="none" w:sz="0" w:space="0" w:color="auto"/>
            <w:right w:val="none" w:sz="0" w:space="0" w:color="auto"/>
          </w:divBdr>
        </w:div>
        <w:div w:id="1898783168">
          <w:marLeft w:val="0"/>
          <w:marRight w:val="0"/>
          <w:marTop w:val="0"/>
          <w:marBottom w:val="0"/>
          <w:divBdr>
            <w:top w:val="none" w:sz="0" w:space="0" w:color="auto"/>
            <w:left w:val="none" w:sz="0" w:space="0" w:color="auto"/>
            <w:bottom w:val="none" w:sz="0" w:space="0" w:color="auto"/>
            <w:right w:val="none" w:sz="0" w:space="0" w:color="auto"/>
          </w:divBdr>
        </w:div>
        <w:div w:id="140522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2023-10-28T19:40:00Z</dcterms:created>
  <dcterms:modified xsi:type="dcterms:W3CDTF">2023-10-28T19:41:00Z</dcterms:modified>
</cp:coreProperties>
</file>